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C4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案例主题参考</w:t>
      </w:r>
    </w:p>
    <w:p w14:paraId="6FB3E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520B6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1.思想价值引领：</w:t>
      </w:r>
      <w:r>
        <w:rPr>
          <w:rFonts w:hint="eastAsia" w:ascii="宋体" w:hAnsi="宋体" w:eastAsia="宋体" w:cs="宋体"/>
          <w:sz w:val="28"/>
          <w:szCs w:val="28"/>
        </w:rPr>
        <w:t>如何有效开展主题教育、如何引导学生践行社会主义核心价值观、应对解决学生信仰危机等。</w:t>
      </w:r>
    </w:p>
    <w:p w14:paraId="1981D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2.党团与班级建设：</w:t>
      </w:r>
      <w:r>
        <w:rPr>
          <w:rFonts w:hint="eastAsia" w:ascii="宋体" w:hAnsi="宋体" w:eastAsia="宋体" w:cs="宋体"/>
          <w:sz w:val="28"/>
          <w:szCs w:val="28"/>
        </w:rPr>
        <w:t>打造活力团支部/班级、学生骨干培养、后进班级转化等。</w:t>
      </w:r>
      <w:bookmarkStart w:id="0" w:name="_GoBack"/>
      <w:bookmarkEnd w:id="0"/>
    </w:p>
    <w:p w14:paraId="57BF2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3.学业指导与学风建设：</w:t>
      </w:r>
      <w:r>
        <w:rPr>
          <w:rFonts w:hint="eastAsia" w:ascii="宋体" w:hAnsi="宋体" w:eastAsia="宋体" w:cs="宋体"/>
          <w:sz w:val="28"/>
          <w:szCs w:val="28"/>
        </w:rPr>
        <w:t>学业困难学生帮扶、学术不端行为处理、优良学风营造等。</w:t>
      </w:r>
    </w:p>
    <w:p w14:paraId="788C8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4.心理健康教育与咨询：</w:t>
      </w:r>
      <w:r>
        <w:rPr>
          <w:rFonts w:hint="eastAsia" w:ascii="宋体" w:hAnsi="宋体" w:eastAsia="宋体" w:cs="宋体"/>
          <w:sz w:val="28"/>
          <w:szCs w:val="28"/>
        </w:rPr>
        <w:t>心理危机预防与干预、常见心理问题疏导、家校沟通协作等。</w:t>
      </w:r>
    </w:p>
    <w:p w14:paraId="6E7F1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5.网络思想政治教育：</w:t>
      </w:r>
      <w:r>
        <w:rPr>
          <w:rFonts w:hint="eastAsia" w:ascii="宋体" w:hAnsi="宋体" w:eastAsia="宋体" w:cs="宋体"/>
          <w:sz w:val="28"/>
          <w:szCs w:val="28"/>
        </w:rPr>
        <w:t>新媒体平台建设与运营、网络舆情应对与引导、网络文明素养教育等。</w:t>
      </w:r>
    </w:p>
    <w:p w14:paraId="22F13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6.校园危机事件应对：</w:t>
      </w:r>
      <w:r>
        <w:rPr>
          <w:rFonts w:hint="eastAsia" w:ascii="宋体" w:hAnsi="宋体" w:eastAsia="宋体" w:cs="宋体"/>
          <w:sz w:val="28"/>
          <w:szCs w:val="28"/>
        </w:rPr>
        <w:t>突发事件应急处置（如学生安全事件、公共安全事件）、事后恢复与长效防控机制建立等。</w:t>
      </w:r>
    </w:p>
    <w:p w14:paraId="3095C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7.职业规划与就业指导：</w:t>
      </w:r>
      <w:r>
        <w:rPr>
          <w:rFonts w:hint="eastAsia" w:ascii="宋体" w:hAnsi="宋体" w:eastAsia="宋体" w:cs="宋体"/>
          <w:sz w:val="28"/>
          <w:szCs w:val="28"/>
        </w:rPr>
        <w:t>低年级生涯唤醒、就业观念引导、困难群体就业帮扶等。</w:t>
      </w:r>
    </w:p>
    <w:p w14:paraId="4FB63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8.辅导员理论研究与职业发展：</w:t>
      </w:r>
      <w:r>
        <w:rPr>
          <w:rFonts w:hint="eastAsia" w:ascii="宋体" w:hAnsi="宋体" w:eastAsia="宋体" w:cs="宋体"/>
          <w:sz w:val="28"/>
          <w:szCs w:val="28"/>
        </w:rPr>
        <w:t>辅导员工作室建设、工作模式创新、职业倦怠应对与成长路径探索等。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91B46"/>
    <w:rsid w:val="4C59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2026-05-25T07:57:00Z</dcterms:created>
  <dc:creator>沈先森</dc:creator>
  <cp:lastModifiedBy>沈先森</cp:lastModifiedBy>
  <dcterms:modified xsi:type="dcterms:W3CDTF">2026-05-25T07:59:39Z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ICV">
    <vt:lpwstr>1125C58D89AC4BE4AB05D14E10054DDC_11</vt:lpwstr>
  </property>
  <property fmtid="{D5CDD505-2E9C-101B-9397-08002B2CF9AE}" pid="4" name="KSOTemplateDocerSaveRecord">
    <vt:lpwstr>eyJoZGlkIjoiMzYyMDQ4ODk4YThmMDAxZTMwMDBmMWJhMmVjMWY1ZTciLCJ1c2VySWQiOiIyNjEzNTk1ODkifQ==</vt:lpwstr>
  </property>
</Properties>
</file>